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47134A" w:rsidP="00B43D1E">
      <w:pPr>
        <w:pStyle w:val="Overskrift2"/>
      </w:pPr>
      <w:r>
        <w:t>Produktreglen for differentiation</w:t>
      </w:r>
    </w:p>
    <w:p w:rsidR="00D808A2" w:rsidRDefault="00D043A9" w:rsidP="00D808A2">
      <w:pPr>
        <w:pStyle w:val="Normalp"/>
      </w:pPr>
      <w:r>
        <w:t xml:space="preserve">Vi har tidligere set, at hvis to funktioner </w:t>
      </w:r>
      <w:r>
        <w:rPr>
          <w:i/>
        </w:rPr>
        <w:t>f</w:t>
      </w:r>
      <w:r>
        <w:t xml:space="preserve"> og </w:t>
      </w:r>
      <w:r>
        <w:rPr>
          <w:i/>
        </w:rPr>
        <w:t>g</w:t>
      </w:r>
      <w:r>
        <w:t xml:space="preserve"> er differentiable i et punkt </w:t>
      </w:r>
      <w:r w:rsidRPr="00D043A9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3.8pt;height:18pt" o:ole="">
            <v:imagedata r:id="rId7" o:title=""/>
          </v:shape>
          <o:OLEObject Type="Embed" ProgID="Equation.DSMT4" ShapeID="_x0000_i1104" DrawAspect="Content" ObjectID="_1381866512" r:id="rId8"/>
        </w:object>
      </w:r>
      <w:r>
        <w:t xml:space="preserve">, så er </w:t>
      </w:r>
      <w:r>
        <w:rPr>
          <w:i/>
        </w:rPr>
        <w:t>sum</w:t>
      </w:r>
      <w:r w:rsidR="003D073C">
        <w:rPr>
          <w:i/>
        </w:rPr>
        <w:softHyphen/>
      </w:r>
      <w:r>
        <w:rPr>
          <w:i/>
        </w:rPr>
        <w:t>men</w:t>
      </w:r>
      <w:r w:rsidR="00AA35A8">
        <w:t xml:space="preserve"> af funktionerne også differentiabel i </w:t>
      </w:r>
      <w:r w:rsidR="00AA35A8" w:rsidRPr="00AA35A8">
        <w:rPr>
          <w:position w:val="-12"/>
        </w:rPr>
        <w:object w:dxaOrig="279" w:dyaOrig="360">
          <v:shape id="_x0000_i1107" type="#_x0000_t75" style="width:13.8pt;height:18pt" o:ole="">
            <v:imagedata r:id="rId9" o:title=""/>
          </v:shape>
          <o:OLEObject Type="Embed" ProgID="Equation.DSMT4" ShapeID="_x0000_i1107" DrawAspect="Content" ObjectID="_1381866513" r:id="rId10"/>
        </w:object>
      </w:r>
      <w:r w:rsidR="0097024F">
        <w:t>, og differentialkvotienten kan fås ved at dif</w:t>
      </w:r>
      <w:r w:rsidR="003D073C">
        <w:softHyphen/>
      </w:r>
      <w:r w:rsidR="0097024F">
        <w:t xml:space="preserve">ferentiere de to funktioner hver for sig og lægge resultaterne sammen. Sagt med matematik: </w:t>
      </w:r>
      <w:r w:rsidR="0097024F" w:rsidRPr="0097024F">
        <w:rPr>
          <w:position w:val="-12"/>
        </w:rPr>
        <w:object w:dxaOrig="2880" w:dyaOrig="360">
          <v:shape id="_x0000_i1110" type="#_x0000_t75" style="width:2in;height:18pt" o:ole="">
            <v:imagedata r:id="rId11" o:title=""/>
          </v:shape>
          <o:OLEObject Type="Embed" ProgID="Equation.DSMT4" ShapeID="_x0000_i1110" DrawAspect="Content" ObjectID="_1381866514" r:id="rId12"/>
        </w:object>
      </w:r>
      <w:r w:rsidR="0097024F">
        <w:t xml:space="preserve">. </w:t>
      </w:r>
      <w:r w:rsidR="00CA3437">
        <w:t xml:space="preserve">Vi fik også set, at en konstant </w:t>
      </w:r>
      <w:r w:rsidR="00CA3437">
        <w:rPr>
          <w:i/>
        </w:rPr>
        <w:t xml:space="preserve">k </w:t>
      </w:r>
      <w:r w:rsidR="00CA3437">
        <w:t xml:space="preserve">gange </w:t>
      </w:r>
      <w:r w:rsidR="00CA3437" w:rsidRPr="00CA3437">
        <w:rPr>
          <w:i/>
        </w:rPr>
        <w:t>f</w:t>
      </w:r>
      <w:r w:rsidR="00CA3437">
        <w:t xml:space="preserve"> er </w:t>
      </w:r>
      <w:r w:rsidR="006B6F87">
        <w:t>dif</w:t>
      </w:r>
      <w:r w:rsidR="003D073C">
        <w:softHyphen/>
      </w:r>
      <w:r w:rsidR="006B6F87">
        <w:t xml:space="preserve">ferentiabel i </w:t>
      </w:r>
      <w:r w:rsidR="006B6F87" w:rsidRPr="00AA35A8">
        <w:rPr>
          <w:position w:val="-12"/>
        </w:rPr>
        <w:object w:dxaOrig="279" w:dyaOrig="360">
          <v:shape id="_x0000_i1111" type="#_x0000_t75" style="width:13.8pt;height:18pt" o:ole="">
            <v:imagedata r:id="rId9" o:title=""/>
          </v:shape>
          <o:OLEObject Type="Embed" ProgID="Equation.DSMT4" ShapeID="_x0000_i1111" DrawAspect="Content" ObjectID="_1381866515" r:id="rId13"/>
        </w:object>
      </w:r>
      <w:r w:rsidR="006B6F87">
        <w:t xml:space="preserve"> og at differentialkvotienten </w:t>
      </w:r>
      <w:r w:rsidR="003D073C">
        <w:t xml:space="preserve">fås </w:t>
      </w:r>
      <w:r w:rsidR="006B6F87">
        <w:t>ved løst sagt ”at sætte konstanten uden</w:t>
      </w:r>
      <w:r w:rsidR="00D808A2">
        <w:softHyphen/>
      </w:r>
      <w:r w:rsidR="006B6F87">
        <w:t xml:space="preserve">for”: </w:t>
      </w:r>
      <w:r w:rsidR="006B6F87" w:rsidRPr="006B6F87">
        <w:rPr>
          <w:position w:val="-12"/>
        </w:rPr>
        <w:object w:dxaOrig="2200" w:dyaOrig="360">
          <v:shape id="_x0000_i1114" type="#_x0000_t75" style="width:109.8pt;height:18pt" o:ole="">
            <v:imagedata r:id="rId14" o:title=""/>
          </v:shape>
          <o:OLEObject Type="Embed" ProgID="Equation.DSMT4" ShapeID="_x0000_i1114" DrawAspect="Content" ObjectID="_1381866516" r:id="rId15"/>
        </w:object>
      </w:r>
      <w:r w:rsidR="006B6F87">
        <w:t xml:space="preserve">. </w:t>
      </w:r>
      <w:r w:rsidR="006E677A">
        <w:t>Disse regner</w:t>
      </w:r>
      <w:r w:rsidR="003D073C">
        <w:t>egler</w:t>
      </w:r>
      <w:r w:rsidR="006E677A">
        <w:t xml:space="preserve"> er overordentlig nyttige, for det be</w:t>
      </w:r>
      <w:r w:rsidR="003D073C">
        <w:softHyphen/>
      </w:r>
      <w:r w:rsidR="006E677A">
        <w:t>tyder</w:t>
      </w:r>
      <w:r w:rsidR="003D073C">
        <w:t xml:space="preserve"> nemlig</w:t>
      </w:r>
      <w:r w:rsidR="006E677A">
        <w:t>, at vi umid</w:t>
      </w:r>
      <w:r w:rsidR="00D808A2">
        <w:softHyphen/>
      </w:r>
      <w:r w:rsidR="006E677A">
        <w:t>del</w:t>
      </w:r>
      <w:r w:rsidR="00D808A2">
        <w:softHyphen/>
      </w:r>
      <w:r w:rsidR="006E677A">
        <w:t>bart kan differentiere en masse nye funktioner, uden at skulle til at ”gå tilbage til Ada</w:t>
      </w:r>
      <w:r w:rsidR="009E7507">
        <w:t>m</w:t>
      </w:r>
      <w:r w:rsidR="006E677A">
        <w:t xml:space="preserve"> og Eva”, hvormed menes opskrive differenskvotienten, re</w:t>
      </w:r>
      <w:r w:rsidR="003D073C">
        <w:softHyphen/>
      </w:r>
      <w:r w:rsidR="006E677A">
        <w:t>du</w:t>
      </w:r>
      <w:r w:rsidR="003D073C">
        <w:softHyphen/>
      </w:r>
      <w:r w:rsidR="006E677A">
        <w:t>ce</w:t>
      </w:r>
      <w:r w:rsidR="003D073C">
        <w:softHyphen/>
      </w:r>
      <w:r w:rsidR="006E677A">
        <w:t>re udtrykket og under</w:t>
      </w:r>
      <w:r w:rsidR="00D808A2">
        <w:softHyphen/>
      </w:r>
      <w:r w:rsidR="006E677A">
        <w:t xml:space="preserve">søge for grænseværdier, når </w:t>
      </w:r>
      <w:r w:rsidR="00AA4AE3" w:rsidRPr="006E677A">
        <w:rPr>
          <w:position w:val="-6"/>
        </w:rPr>
        <w:object w:dxaOrig="800" w:dyaOrig="279">
          <v:shape id="_x0000_i1119" type="#_x0000_t75" style="width:40.2pt;height:13.8pt" o:ole="">
            <v:imagedata r:id="rId16" o:title=""/>
          </v:shape>
          <o:OLEObject Type="Embed" ProgID="Equation.DSMT4" ShapeID="_x0000_i1119" DrawAspect="Content" ObjectID="_1381866517" r:id="rId17"/>
        </w:object>
      </w:r>
      <w:r w:rsidR="006E677A">
        <w:t xml:space="preserve">. </w:t>
      </w:r>
      <w:r w:rsidR="00AA4AE3">
        <w:t>Vi kan altså umiddelbart spare en masse tid. Det næste nærliggende spørgsmål, der trænger sig på</w:t>
      </w:r>
      <w:r w:rsidR="003D073C">
        <w:t xml:space="preserve">, </w:t>
      </w:r>
      <w:r w:rsidR="00AA4AE3">
        <w:t xml:space="preserve">er om </w:t>
      </w:r>
      <w:r w:rsidR="00AA4AE3" w:rsidRPr="00AA4AE3">
        <w:rPr>
          <w:i/>
        </w:rPr>
        <w:t>pro</w:t>
      </w:r>
      <w:r w:rsidR="003D073C">
        <w:rPr>
          <w:i/>
        </w:rPr>
        <w:softHyphen/>
      </w:r>
      <w:r w:rsidR="00AA4AE3" w:rsidRPr="00AA4AE3">
        <w:rPr>
          <w:i/>
        </w:rPr>
        <w:t>duk</w:t>
      </w:r>
      <w:r w:rsidR="003D073C">
        <w:rPr>
          <w:i/>
        </w:rPr>
        <w:softHyphen/>
      </w:r>
      <w:r w:rsidR="00AA4AE3" w:rsidRPr="00AA4AE3">
        <w:rPr>
          <w:i/>
        </w:rPr>
        <w:t>tet</w:t>
      </w:r>
      <w:r w:rsidR="00AA4AE3">
        <w:t xml:space="preserve"> </w:t>
      </w:r>
      <w:r w:rsidR="00AA4AE3" w:rsidRPr="00AA4AE3">
        <w:rPr>
          <w:position w:val="-10"/>
        </w:rPr>
        <w:object w:dxaOrig="520" w:dyaOrig="320">
          <v:shape id="_x0000_i1122" type="#_x0000_t75" style="width:25.8pt;height:16.2pt" o:ole="">
            <v:imagedata r:id="rId18" o:title=""/>
          </v:shape>
          <o:OLEObject Type="Embed" ProgID="Equation.DSMT4" ShapeID="_x0000_i1122" DrawAspect="Content" ObjectID="_1381866518" r:id="rId19"/>
        </w:object>
      </w:r>
      <w:r w:rsidR="00AA4AE3">
        <w:t xml:space="preserve"> er </w:t>
      </w:r>
      <w:proofErr w:type="gramStart"/>
      <w:r w:rsidR="00AA4AE3">
        <w:t>dif</w:t>
      </w:r>
      <w:r w:rsidR="00D808A2">
        <w:softHyphen/>
      </w:r>
      <w:r w:rsidR="00AA4AE3">
        <w:t>fe</w:t>
      </w:r>
      <w:r w:rsidR="00D808A2">
        <w:softHyphen/>
      </w:r>
      <w:r w:rsidR="00AA4AE3">
        <w:t>ren</w:t>
      </w:r>
      <w:r w:rsidR="00D808A2">
        <w:softHyphen/>
      </w:r>
      <w:r w:rsidR="00AA4AE3">
        <w:t>tia</w:t>
      </w:r>
      <w:r w:rsidR="00D808A2">
        <w:softHyphen/>
      </w:r>
      <w:r w:rsidR="00AA4AE3">
        <w:t>bel</w:t>
      </w:r>
      <w:proofErr w:type="gramEnd"/>
      <w:r w:rsidR="00D54AE0">
        <w:t xml:space="preserve"> </w:t>
      </w:r>
      <w:r w:rsidR="00AA4AE3">
        <w:t xml:space="preserve">i </w:t>
      </w:r>
      <w:r w:rsidR="00AA4AE3" w:rsidRPr="00AA35A8">
        <w:rPr>
          <w:position w:val="-12"/>
        </w:rPr>
        <w:object w:dxaOrig="279" w:dyaOrig="360">
          <v:shape id="_x0000_i1123" type="#_x0000_t75" style="width:13.8pt;height:18pt" o:ole="">
            <v:imagedata r:id="rId9" o:title=""/>
          </v:shape>
          <o:OLEObject Type="Embed" ProgID="Equation.DSMT4" ShapeID="_x0000_i1123" DrawAspect="Content" ObjectID="_1381866519" r:id="rId20"/>
        </w:object>
      </w:r>
      <w:r w:rsidR="003D073C">
        <w:t>,</w:t>
      </w:r>
      <w:r w:rsidR="005F1E63">
        <w:t xml:space="preserve"> og om man i så fald kan differentiere produktfunktionen ved at differentiere funk</w:t>
      </w:r>
      <w:r w:rsidR="00D808A2">
        <w:softHyphen/>
      </w:r>
      <w:r w:rsidR="005F1E63">
        <w:t>tionerne hver for sig og gange resultaterne sammen til sidst, alt</w:t>
      </w:r>
      <w:r w:rsidR="003D073C">
        <w:softHyphen/>
      </w:r>
      <w:r w:rsidR="005F1E63">
        <w:t>så om følgende gæl</w:t>
      </w:r>
      <w:r w:rsidR="00D808A2">
        <w:softHyphen/>
      </w:r>
      <w:r w:rsidR="005F1E63">
        <w:t xml:space="preserve">der: </w:t>
      </w:r>
      <w:r w:rsidR="005F1E63" w:rsidRPr="0097024F">
        <w:rPr>
          <w:position w:val="-12"/>
        </w:rPr>
        <w:object w:dxaOrig="2700" w:dyaOrig="360">
          <v:shape id="_x0000_i1126" type="#_x0000_t75" style="width:135pt;height:18pt" o:ole="">
            <v:imagedata r:id="rId21" o:title=""/>
          </v:shape>
          <o:OLEObject Type="Embed" ProgID="Equation.DSMT4" ShapeID="_x0000_i1126" DrawAspect="Content" ObjectID="_1381866520" r:id="rId22"/>
        </w:object>
      </w:r>
      <w:r w:rsidR="005F1E63">
        <w:t xml:space="preserve">? Svaret er her NEJ!! </w:t>
      </w:r>
      <w:r w:rsidR="00F61937">
        <w:t>Det er des</w:t>
      </w:r>
      <w:r w:rsidR="003D073C">
        <w:softHyphen/>
      </w:r>
      <w:r w:rsidR="00F61937">
        <w:t>vær</w:t>
      </w:r>
      <w:r w:rsidR="003D073C">
        <w:softHyphen/>
      </w:r>
      <w:r w:rsidR="003D073C">
        <w:softHyphen/>
      </w:r>
      <w:r w:rsidR="00F61937">
        <w:t>re lidt mere kom</w:t>
      </w:r>
      <w:r w:rsidR="00D808A2">
        <w:softHyphen/>
      </w:r>
      <w:r w:rsidR="00D808A2">
        <w:softHyphen/>
      </w:r>
      <w:r w:rsidR="00F61937">
        <w:t xml:space="preserve">pliceret, men dog stadig til at have med at gøre. </w:t>
      </w:r>
    </w:p>
    <w:p w:rsidR="00903EE1" w:rsidRDefault="00903EE1" w:rsidP="00D808A2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F61937" w:rsidTr="001E163B">
        <w:tc>
          <w:tcPr>
            <w:tcW w:w="8504" w:type="dxa"/>
            <w:shd w:val="clear" w:color="auto" w:fill="auto"/>
          </w:tcPr>
          <w:p w:rsidR="00F61937" w:rsidRDefault="00F61937" w:rsidP="00F61937">
            <w:pPr>
              <w:pStyle w:val="Overskrift4"/>
              <w:outlineLvl w:val="3"/>
            </w:pPr>
            <w:r>
              <w:t>Sætning</w:t>
            </w:r>
            <w:r w:rsidR="002269E0">
              <w:t xml:space="preserve"> 1</w:t>
            </w:r>
          </w:p>
          <w:p w:rsidR="00F61937" w:rsidRDefault="00F61937" w:rsidP="00D54AE0">
            <w:pPr>
              <w:pStyle w:val="Normalp"/>
            </w:pPr>
            <w:r>
              <w:t xml:space="preserve">Antag </w:t>
            </w:r>
            <w:r>
              <w:t xml:space="preserve">at funktionerne </w:t>
            </w:r>
            <w:r>
              <w:rPr>
                <w:i/>
              </w:rPr>
              <w:t>f</w:t>
            </w:r>
            <w:r>
              <w:t xml:space="preserve"> og </w:t>
            </w:r>
            <w:r>
              <w:rPr>
                <w:i/>
              </w:rPr>
              <w:t>g</w:t>
            </w:r>
            <w:r>
              <w:t xml:space="preserve"> er differentiable i punktet </w:t>
            </w:r>
            <w:r w:rsidRPr="0047134A">
              <w:rPr>
                <w:position w:val="-12"/>
              </w:rPr>
              <w:object w:dxaOrig="279" w:dyaOrig="360">
                <v:shape id="_x0000_i1159" type="#_x0000_t75" style="width:13.8pt;height:18pt" o:ole="">
                  <v:imagedata r:id="rId23" o:title=""/>
                </v:shape>
                <o:OLEObject Type="Embed" ProgID="Equation.DSMT4" ShapeID="_x0000_i1159" DrawAspect="Content" ObjectID="_1381866521" r:id="rId24"/>
              </w:object>
            </w:r>
            <w:r w:rsidR="0068291D">
              <w:t>. Da</w:t>
            </w:r>
            <w:r>
              <w:t xml:space="preserve"> er produktfunktionen </w:t>
            </w:r>
            <w:r w:rsidRPr="00F61937">
              <w:rPr>
                <w:position w:val="-10"/>
              </w:rPr>
              <w:object w:dxaOrig="520" w:dyaOrig="320">
                <v:shape id="_x0000_i1160" type="#_x0000_t75" style="width:25.8pt;height:16.2pt" o:ole="">
                  <v:imagedata r:id="rId25" o:title=""/>
                </v:shape>
                <o:OLEObject Type="Embed" ProgID="Equation.DSMT4" ShapeID="_x0000_i1160" DrawAspect="Content" ObjectID="_1381866522" r:id="rId26"/>
              </w:object>
            </w:r>
            <w:r>
              <w:t xml:space="preserve"> differentiabel i </w:t>
            </w:r>
            <w:r w:rsidRPr="00AA35A8">
              <w:rPr>
                <w:position w:val="-12"/>
              </w:rPr>
              <w:object w:dxaOrig="279" w:dyaOrig="360">
                <v:shape id="_x0000_i1161" type="#_x0000_t75" style="width:13.8pt;height:18pt" o:ole="">
                  <v:imagedata r:id="rId9" o:title=""/>
                </v:shape>
                <o:OLEObject Type="Embed" ProgID="Equation.DSMT4" ShapeID="_x0000_i1161" DrawAspect="Content" ObjectID="_1381866523" r:id="rId27"/>
              </w:object>
            </w:r>
            <w:r>
              <w:t xml:space="preserve"> og differentialkvotienten fås således:</w:t>
            </w:r>
          </w:p>
          <w:p w:rsidR="00F61937" w:rsidRPr="00F61937" w:rsidRDefault="006A7596" w:rsidP="008A7ECC">
            <w:pPr>
              <w:spacing w:before="180"/>
            </w:pPr>
            <w:r>
              <w:t>(1)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61937" w:rsidRPr="00F61937">
              <w:rPr>
                <w:position w:val="-12"/>
              </w:rPr>
              <w:object w:dxaOrig="4280" w:dyaOrig="360">
                <v:shape id="_x0000_i1162" type="#_x0000_t75" style="width:214.2pt;height:18pt" o:ole="">
                  <v:imagedata r:id="rId28" o:title=""/>
                </v:shape>
                <o:OLEObject Type="Embed" ProgID="Equation.DSMT4" ShapeID="_x0000_i1162" DrawAspect="Content" ObjectID="_1381866524" r:id="rId29"/>
              </w:object>
            </w:r>
          </w:p>
        </w:tc>
      </w:tr>
    </w:tbl>
    <w:p w:rsidR="00D808A2" w:rsidRDefault="005F1E63" w:rsidP="0047134A">
      <w:r>
        <w:t xml:space="preserve"> </w:t>
      </w:r>
    </w:p>
    <w:p w:rsidR="008E0862" w:rsidRDefault="001E163B" w:rsidP="00C72361">
      <w:pPr>
        <w:pStyle w:val="Normalp"/>
      </w:pPr>
      <w:r>
        <w:rPr>
          <w:i/>
        </w:rPr>
        <w:t>Bevis</w:t>
      </w:r>
      <w:r w:rsidR="007F73B3">
        <w:t xml:space="preserve">: </w:t>
      </w:r>
      <w:r w:rsidR="0067477F">
        <w:t>For at bevise sætningen er vi nødt til at gå helt tilbage til definitionen for dif</w:t>
      </w:r>
      <w:r w:rsidR="007F73B3">
        <w:softHyphen/>
      </w:r>
      <w:r w:rsidR="0067477F">
        <w:t>fe</w:t>
      </w:r>
      <w:r w:rsidR="007F73B3">
        <w:softHyphen/>
      </w:r>
      <w:r w:rsidR="0067477F">
        <w:t>ren</w:t>
      </w:r>
      <w:r w:rsidR="007F73B3">
        <w:softHyphen/>
      </w:r>
      <w:r w:rsidR="0067477F">
        <w:t xml:space="preserve">tialkvotient. </w:t>
      </w:r>
      <w:r w:rsidR="00C341C2">
        <w:t xml:space="preserve">Lad os kalde produktfunktionen for </w:t>
      </w:r>
      <w:r w:rsidR="00C341C2" w:rsidRPr="00C341C2">
        <w:rPr>
          <w:position w:val="-10"/>
        </w:rPr>
        <w:object w:dxaOrig="499" w:dyaOrig="320">
          <v:shape id="_x0000_i1204" type="#_x0000_t75" style="width:25.2pt;height:16.2pt" o:ole="">
            <v:imagedata r:id="rId30" o:title=""/>
          </v:shape>
          <o:OLEObject Type="Embed" ProgID="Equation.DSMT4" ShapeID="_x0000_i1204" DrawAspect="Content" ObjectID="_1381866525" r:id="rId31"/>
        </w:object>
      </w:r>
      <w:r w:rsidR="00C341C2">
        <w:t xml:space="preserve">, altså: </w:t>
      </w:r>
      <w:r w:rsidR="00C341C2" w:rsidRPr="00C341C2">
        <w:rPr>
          <w:position w:val="-10"/>
        </w:rPr>
        <w:object w:dxaOrig="1800" w:dyaOrig="320">
          <v:shape id="_x0000_i1207" type="#_x0000_t75" style="width:90pt;height:16.2pt" o:ole="">
            <v:imagedata r:id="rId32" o:title=""/>
          </v:shape>
          <o:OLEObject Type="Embed" ProgID="Equation.DSMT4" ShapeID="_x0000_i1207" DrawAspect="Content" ObjectID="_1381866526" r:id="rId33"/>
        </w:object>
      </w:r>
      <w:r w:rsidR="00C341C2">
        <w:t xml:space="preserve">. </w:t>
      </w:r>
      <w:r w:rsidR="0067477F">
        <w:t xml:space="preserve">Vi skal have fat i differenskvotienten for produktfunktionen. Da der er flere </w:t>
      </w:r>
      <w:proofErr w:type="spellStart"/>
      <w:r w:rsidR="0067477F">
        <w:t>differens</w:t>
      </w:r>
      <w:r w:rsidR="00241C5D">
        <w:softHyphen/>
      </w:r>
      <w:r w:rsidR="0067477F">
        <w:t>kvo</w:t>
      </w:r>
      <w:r w:rsidR="00241C5D">
        <w:softHyphen/>
      </w:r>
      <w:r w:rsidR="0067477F">
        <w:t>ti</w:t>
      </w:r>
      <w:r w:rsidR="00241C5D">
        <w:softHyphen/>
      </w:r>
      <w:r w:rsidR="0067477F">
        <w:t>en</w:t>
      </w:r>
      <w:r w:rsidR="00241C5D">
        <w:softHyphen/>
      </w:r>
      <w:r w:rsidR="0067477F">
        <w:t>ter</w:t>
      </w:r>
      <w:proofErr w:type="spellEnd"/>
      <w:r w:rsidR="0067477F">
        <w:t xml:space="preserve"> i spil</w:t>
      </w:r>
      <w:r w:rsidR="008E0862">
        <w:t xml:space="preserve">, anbringer vi indekset </w:t>
      </w:r>
      <w:r w:rsidR="00DD79F1">
        <w:rPr>
          <w:i/>
        </w:rPr>
        <w:t xml:space="preserve">h </w:t>
      </w:r>
      <w:r w:rsidR="008E0862">
        <w:t xml:space="preserve">på </w:t>
      </w:r>
      <w:r w:rsidR="008E0862" w:rsidRPr="008E0862">
        <w:rPr>
          <w:position w:val="-10"/>
        </w:rPr>
        <w:object w:dxaOrig="340" w:dyaOrig="320">
          <v:shape id="_x0000_i1187" type="#_x0000_t75" style="width:16.8pt;height:16.2pt" o:ole="">
            <v:imagedata r:id="rId34" o:title=""/>
          </v:shape>
          <o:OLEObject Type="Embed" ProgID="Equation.DSMT4" ShapeID="_x0000_i1187" DrawAspect="Content" ObjectID="_1381866527" r:id="rId35"/>
        </w:object>
      </w:r>
      <w:r w:rsidR="008E0862">
        <w:t>:</w:t>
      </w:r>
    </w:p>
    <w:p w:rsidR="00C72361" w:rsidRDefault="00C72361" w:rsidP="00C72361">
      <w:pPr>
        <w:pStyle w:val="Normalp"/>
      </w:pPr>
    </w:p>
    <w:p w:rsidR="008E0862" w:rsidRDefault="00C72361" w:rsidP="008A7ECC">
      <w:r w:rsidRPr="00C72361">
        <w:rPr>
          <w:position w:val="-4"/>
        </w:rPr>
        <w:object w:dxaOrig="8600" w:dyaOrig="5280">
          <v:shape id="_x0000_i1231" type="#_x0000_t75" style="width:430.2pt;height:264pt" o:ole="">
            <v:imagedata r:id="rId36" o:title=""/>
          </v:shape>
          <o:OLEObject Type="Embed" ProgID="Equation.DSMT4" ShapeID="_x0000_i1231" DrawAspect="Content" ObjectID="_1381866528" r:id="rId37"/>
        </w:object>
      </w:r>
    </w:p>
    <w:p w:rsidR="00027EDE" w:rsidRDefault="00553620" w:rsidP="00945C4C">
      <w:pPr>
        <w:pStyle w:val="Normalp"/>
      </w:pPr>
      <w:r w:rsidRPr="00027EDE">
        <w:rPr>
          <w:i/>
        </w:rPr>
        <w:lastRenderedPageBreak/>
        <w:t>Forklaringer</w:t>
      </w:r>
      <w:r>
        <w:t xml:space="preserve">: </w:t>
      </w:r>
      <w:r w:rsidR="00945C4C">
        <w:t xml:space="preserve">3. </w:t>
      </w:r>
      <w:r w:rsidR="005F5C23">
        <w:t>lighedstegn</w:t>
      </w:r>
      <w:r w:rsidR="00945C4C">
        <w:t>: Vi har benyttet</w:t>
      </w:r>
      <w:r w:rsidR="009D7C0D">
        <w:t xml:space="preserve"> et trick, idet vi har indskudt to led i midten i tælleren. Vi har trukket </w:t>
      </w:r>
      <w:r w:rsidR="009D7C0D" w:rsidRPr="009D7C0D">
        <w:rPr>
          <w:position w:val="-12"/>
        </w:rPr>
        <w:object w:dxaOrig="1780" w:dyaOrig="360">
          <v:shape id="_x0000_i1217" type="#_x0000_t75" style="width:88.8pt;height:18pt" o:ole="">
            <v:imagedata r:id="rId38" o:title=""/>
          </v:shape>
          <o:OLEObject Type="Embed" ProgID="Equation.DSMT4" ShapeID="_x0000_i1217" DrawAspect="Content" ObjectID="_1381866529" r:id="rId39"/>
        </w:object>
      </w:r>
      <w:r w:rsidR="009D7C0D">
        <w:t xml:space="preserve"> fra og lagt leddet til igen. Dermed er der ikke sket noget reelt. </w:t>
      </w:r>
      <w:r w:rsidR="00945C4C">
        <w:t xml:space="preserve">4. lighedstegn: Vi </w:t>
      </w:r>
      <w:r w:rsidR="009D7C0D">
        <w:t xml:space="preserve">har opdelt brøken i to dele. </w:t>
      </w:r>
      <w:r w:rsidR="00945C4C">
        <w:t>5. lighedstegn:</w:t>
      </w:r>
      <w:r w:rsidR="00C76CF4">
        <w:t xml:space="preserve"> I tæl</w:t>
      </w:r>
      <w:r w:rsidR="00667AB2">
        <w:softHyphen/>
      </w:r>
      <w:r w:rsidR="00C76CF4">
        <w:t>le</w:t>
      </w:r>
      <w:r w:rsidR="00667AB2">
        <w:softHyphen/>
      </w:r>
      <w:r w:rsidR="00C76CF4">
        <w:t xml:space="preserve">ren i første brøk kan </w:t>
      </w:r>
      <w:r w:rsidR="00C76CF4" w:rsidRPr="00C76CF4">
        <w:rPr>
          <w:position w:val="-12"/>
        </w:rPr>
        <w:object w:dxaOrig="1100" w:dyaOrig="360">
          <v:shape id="_x0000_i1226" type="#_x0000_t75" style="width:55.2pt;height:18pt" o:ole="">
            <v:imagedata r:id="rId40" o:title=""/>
          </v:shape>
          <o:OLEObject Type="Embed" ProgID="Equation.DSMT4" ShapeID="_x0000_i1226" DrawAspect="Content" ObjectID="_1381866530" r:id="rId41"/>
        </w:object>
      </w:r>
      <w:r w:rsidR="00C76CF4">
        <w:t xml:space="preserve"> </w:t>
      </w:r>
      <w:r w:rsidR="004769BE">
        <w:t>sættes uden for parentes, da den er en fælles faktor. Til</w:t>
      </w:r>
      <w:r w:rsidR="00667AB2">
        <w:softHyphen/>
      </w:r>
      <w:r w:rsidR="004769BE">
        <w:t xml:space="preserve">svarende kan </w:t>
      </w:r>
      <w:r w:rsidR="004769BE" w:rsidRPr="004769BE">
        <w:rPr>
          <w:position w:val="-12"/>
        </w:rPr>
        <w:object w:dxaOrig="639" w:dyaOrig="360">
          <v:shape id="_x0000_i1229" type="#_x0000_t75" style="width:31.8pt;height:18pt" o:ole="">
            <v:imagedata r:id="rId42" o:title=""/>
          </v:shape>
          <o:OLEObject Type="Embed" ProgID="Equation.DSMT4" ShapeID="_x0000_i1229" DrawAspect="Content" ObjectID="_1381866531" r:id="rId43"/>
        </w:object>
      </w:r>
      <w:r w:rsidR="004769BE">
        <w:t xml:space="preserve"> sættes udenfor parentes i tælleren i </w:t>
      </w:r>
      <w:r w:rsidR="00570BFF">
        <w:t xml:space="preserve">det </w:t>
      </w:r>
      <w:r w:rsidR="004769BE">
        <w:t>andet led.</w:t>
      </w:r>
      <w:r w:rsidR="00570BFF">
        <w:t xml:space="preserve"> 7. lighedstegn: Vi kan nu se meningen med tricket højere oppe. Vi opdager at første brøk netop er </w:t>
      </w:r>
      <w:proofErr w:type="spellStart"/>
      <w:r w:rsidR="00570BFF">
        <w:t>dif</w:t>
      </w:r>
      <w:r w:rsidR="00667AB2">
        <w:softHyphen/>
      </w:r>
      <w:r w:rsidR="00570BFF">
        <w:t>fe</w:t>
      </w:r>
      <w:r w:rsidR="00667AB2">
        <w:softHyphen/>
      </w:r>
      <w:r w:rsidR="00570BFF">
        <w:t>renskvotienten</w:t>
      </w:r>
      <w:proofErr w:type="spellEnd"/>
      <w:r w:rsidR="00570BFF">
        <w:t xml:space="preserve"> for funktionen </w:t>
      </w:r>
      <w:r w:rsidR="00570BFF">
        <w:rPr>
          <w:i/>
        </w:rPr>
        <w:t>f</w:t>
      </w:r>
      <w:r w:rsidR="00027EDE">
        <w:t>,</w:t>
      </w:r>
      <w:r w:rsidR="00570BFF">
        <w:rPr>
          <w:i/>
        </w:rPr>
        <w:t xml:space="preserve"> </w:t>
      </w:r>
      <w:r w:rsidR="00570BFF">
        <w:t>og at den anden brøk er differenskvotienten for funk</w:t>
      </w:r>
      <w:r w:rsidR="00667AB2">
        <w:softHyphen/>
      </w:r>
      <w:r w:rsidR="00570BFF">
        <w:t>tio</w:t>
      </w:r>
      <w:r w:rsidR="00667AB2">
        <w:softHyphen/>
      </w:r>
      <w:r w:rsidR="00570BFF">
        <w:t xml:space="preserve">nen </w:t>
      </w:r>
      <w:r w:rsidR="00570BFF">
        <w:rPr>
          <w:i/>
        </w:rPr>
        <w:t>g</w:t>
      </w:r>
      <w:r w:rsidR="00570BFF">
        <w:t>.</w:t>
      </w:r>
      <w:r w:rsidR="00027EDE">
        <w:t xml:space="preserve"> </w:t>
      </w:r>
    </w:p>
    <w:p w:rsidR="00027EDE" w:rsidRDefault="00027EDE" w:rsidP="00945C4C">
      <w:pPr>
        <w:pStyle w:val="Normalp"/>
      </w:pPr>
    </w:p>
    <w:p w:rsidR="00890E4C" w:rsidRDefault="00027EDE" w:rsidP="00945C4C">
      <w:pPr>
        <w:pStyle w:val="Normalp"/>
      </w:pPr>
      <w:r>
        <w:t xml:space="preserve">Vi har nu fået et udtryk for differenskvotienten for produktfunktionen </w:t>
      </w:r>
      <w:r>
        <w:rPr>
          <w:i/>
        </w:rPr>
        <w:t>h</w:t>
      </w:r>
      <w:r>
        <w:t xml:space="preserve"> og reduceret den så meget vi kan. Sidste trin i raketten er </w:t>
      </w:r>
      <w:r w:rsidR="00DD1EB5">
        <w:t>at</w:t>
      </w:r>
      <w:r>
        <w:t xml:space="preserve"> afgøre</w:t>
      </w:r>
      <w:r w:rsidR="00BE6C9C">
        <w:t>,</w:t>
      </w:r>
      <w:r>
        <w:t xml:space="preserve"> om udtrykket har en grænseværdi for</w:t>
      </w:r>
      <w:r w:rsidR="00DD1EB5">
        <w:t xml:space="preserve"> </w:t>
      </w:r>
      <w:r w:rsidR="00DD1EB5" w:rsidRPr="00DD1EB5">
        <w:rPr>
          <w:position w:val="-6"/>
        </w:rPr>
        <w:object w:dxaOrig="800" w:dyaOrig="279">
          <v:shape id="_x0000_i1236" type="#_x0000_t75" style="width:40.2pt;height:13.8pt" o:ole="">
            <v:imagedata r:id="rId44" o:title=""/>
          </v:shape>
          <o:OLEObject Type="Embed" ProgID="Equation.DSMT4" ShapeID="_x0000_i1236" DrawAspect="Content" ObjectID="_1381866532" r:id="rId45"/>
        </w:object>
      </w:r>
      <w:r w:rsidR="00DD1EB5">
        <w:t xml:space="preserve"> og</w:t>
      </w:r>
      <w:r w:rsidR="00822CD2">
        <w:t xml:space="preserve">, </w:t>
      </w:r>
      <w:r w:rsidR="00DD1EB5">
        <w:t xml:space="preserve">hvis grænseværdien eksisterer, bestemme den. </w:t>
      </w:r>
      <w:r w:rsidR="00890E4C">
        <w:t xml:space="preserve">I sætningen er antaget, at </w:t>
      </w:r>
      <w:r w:rsidR="00890E4C">
        <w:rPr>
          <w:i/>
        </w:rPr>
        <w:t>f</w:t>
      </w:r>
      <w:r w:rsidR="00890E4C">
        <w:t xml:space="preserve"> og </w:t>
      </w:r>
      <w:r w:rsidR="00890E4C">
        <w:rPr>
          <w:i/>
        </w:rPr>
        <w:t>g</w:t>
      </w:r>
      <w:r w:rsidR="00890E4C">
        <w:t xml:space="preserve"> begge er differentiable i </w:t>
      </w:r>
      <w:r w:rsidR="00890E4C" w:rsidRPr="00890E4C">
        <w:rPr>
          <w:position w:val="-12"/>
        </w:rPr>
        <w:object w:dxaOrig="279" w:dyaOrig="360">
          <v:shape id="_x0000_i1239" type="#_x0000_t75" style="width:13.8pt;height:18pt" o:ole="">
            <v:imagedata r:id="rId46" o:title=""/>
          </v:shape>
          <o:OLEObject Type="Embed" ProgID="Equation.DSMT4" ShapeID="_x0000_i1239" DrawAspect="Content" ObjectID="_1381866533" r:id="rId47"/>
        </w:object>
      </w:r>
      <w:r w:rsidR="00890E4C">
        <w:t xml:space="preserve">. </w:t>
      </w:r>
      <w:r w:rsidR="00353A6E">
        <w:t xml:space="preserve">Pr. definition betyder det, at så har </w:t>
      </w:r>
      <w:proofErr w:type="spellStart"/>
      <w:r w:rsidR="00353A6E">
        <w:t>differens</w:t>
      </w:r>
      <w:r w:rsidR="00A1143E">
        <w:softHyphen/>
      </w:r>
      <w:r w:rsidR="00353A6E">
        <w:t>kvo</w:t>
      </w:r>
      <w:r w:rsidR="00A1143E">
        <w:softHyphen/>
      </w:r>
      <w:r w:rsidR="00353A6E">
        <w:t>ti</w:t>
      </w:r>
      <w:r w:rsidR="00A1143E">
        <w:softHyphen/>
      </w:r>
      <w:r w:rsidR="00353A6E">
        <w:t>en</w:t>
      </w:r>
      <w:r w:rsidR="00A1143E">
        <w:softHyphen/>
      </w:r>
      <w:r w:rsidR="00353A6E">
        <w:t>ter</w:t>
      </w:r>
      <w:r w:rsidR="00A1143E">
        <w:softHyphen/>
      </w:r>
      <w:r w:rsidR="00353A6E">
        <w:t>ne</w:t>
      </w:r>
      <w:proofErr w:type="spellEnd"/>
      <w:r w:rsidR="00353A6E">
        <w:t xml:space="preserve"> for </w:t>
      </w:r>
      <w:r w:rsidR="00353A6E">
        <w:rPr>
          <w:i/>
        </w:rPr>
        <w:t>f</w:t>
      </w:r>
      <w:r w:rsidR="00353A6E">
        <w:t xml:space="preserve"> og </w:t>
      </w:r>
      <w:r w:rsidR="00353A6E">
        <w:rPr>
          <w:i/>
        </w:rPr>
        <w:t>g</w:t>
      </w:r>
      <w:r w:rsidR="00353A6E">
        <w:t xml:space="preserve"> hver en grænseværdi for </w:t>
      </w:r>
      <w:r w:rsidR="00353A6E" w:rsidRPr="00DD1EB5">
        <w:rPr>
          <w:position w:val="-6"/>
        </w:rPr>
        <w:object w:dxaOrig="800" w:dyaOrig="279">
          <v:shape id="_x0000_i1240" type="#_x0000_t75" style="width:40.2pt;height:13.8pt" o:ole="">
            <v:imagedata r:id="rId44" o:title=""/>
          </v:shape>
          <o:OLEObject Type="Embed" ProgID="Equation.DSMT4" ShapeID="_x0000_i1240" DrawAspect="Content" ObjectID="_1381866534" r:id="rId48"/>
        </w:object>
      </w:r>
      <w:r w:rsidR="00F87BE0">
        <w:t>,</w:t>
      </w:r>
      <w:r w:rsidR="00353A6E">
        <w:t xml:space="preserve"> og</w:t>
      </w:r>
      <w:r w:rsidR="00353A6E">
        <w:t xml:space="preserve"> grænseværdierne er henholdsvis </w:t>
      </w:r>
      <w:r w:rsidR="00353A6E" w:rsidRPr="00353A6E">
        <w:rPr>
          <w:position w:val="-12"/>
        </w:rPr>
        <w:object w:dxaOrig="680" w:dyaOrig="360">
          <v:shape id="_x0000_i1245" type="#_x0000_t75" style="width:34.2pt;height:18pt" o:ole="">
            <v:imagedata r:id="rId49" o:title=""/>
          </v:shape>
          <o:OLEObject Type="Embed" ProgID="Equation.DSMT4" ShapeID="_x0000_i1245" DrawAspect="Content" ObjectID="_1381866535" r:id="rId50"/>
        </w:object>
      </w:r>
      <w:r w:rsidR="00353A6E">
        <w:t xml:space="preserve"> og </w:t>
      </w:r>
      <w:r w:rsidR="00353A6E" w:rsidRPr="00353A6E">
        <w:rPr>
          <w:position w:val="-12"/>
        </w:rPr>
        <w:object w:dxaOrig="660" w:dyaOrig="360">
          <v:shape id="_x0000_i1248" type="#_x0000_t75" style="width:33pt;height:18pt" o:ole="">
            <v:imagedata r:id="rId51" o:title=""/>
          </v:shape>
          <o:OLEObject Type="Embed" ProgID="Equation.DSMT4" ShapeID="_x0000_i1248" DrawAspect="Content" ObjectID="_1381866536" r:id="rId52"/>
        </w:object>
      </w:r>
      <w:r w:rsidR="00353A6E">
        <w:t xml:space="preserve">. </w:t>
      </w:r>
      <w:r w:rsidR="00A1143E">
        <w:t xml:space="preserve">Sagt med matematik har vi </w:t>
      </w:r>
      <w:r w:rsidR="00A1143E" w:rsidRPr="00A1143E">
        <w:rPr>
          <w:position w:val="-14"/>
        </w:rPr>
        <w:object w:dxaOrig="1800" w:dyaOrig="380">
          <v:shape id="_x0000_i1251" type="#_x0000_t75" style="width:90pt;height:19.2pt" o:ole="">
            <v:imagedata r:id="rId53" o:title=""/>
          </v:shape>
          <o:OLEObject Type="Embed" ProgID="Equation.DSMT4" ShapeID="_x0000_i1251" DrawAspect="Content" ObjectID="_1381866537" r:id="rId54"/>
        </w:object>
      </w:r>
      <w:r w:rsidR="00A1143E">
        <w:t xml:space="preserve"> og </w:t>
      </w:r>
      <w:r w:rsidR="00A1143E" w:rsidRPr="00A1143E">
        <w:rPr>
          <w:position w:val="-14"/>
        </w:rPr>
        <w:object w:dxaOrig="1760" w:dyaOrig="380">
          <v:shape id="_x0000_i1254" type="#_x0000_t75" style="width:88.2pt;height:19.2pt" o:ole="">
            <v:imagedata r:id="rId55" o:title=""/>
          </v:shape>
          <o:OLEObject Type="Embed" ProgID="Equation.DSMT4" ShapeID="_x0000_i1254" DrawAspect="Content" ObjectID="_1381866538" r:id="rId56"/>
        </w:object>
      </w:r>
      <w:r w:rsidR="00EA7C54">
        <w:t xml:space="preserve"> for </w:t>
      </w:r>
      <w:r w:rsidR="00EA7C54" w:rsidRPr="00DD1EB5">
        <w:rPr>
          <w:position w:val="-6"/>
        </w:rPr>
        <w:object w:dxaOrig="800" w:dyaOrig="279">
          <v:shape id="_x0000_i1257" type="#_x0000_t75" style="width:40.2pt;height:13.8pt" o:ole="">
            <v:imagedata r:id="rId44" o:title=""/>
          </v:shape>
          <o:OLEObject Type="Embed" ProgID="Equation.DSMT4" ShapeID="_x0000_i1257" DrawAspect="Content" ObjectID="_1381866539" r:id="rId57"/>
        </w:object>
      </w:r>
      <w:r w:rsidR="00EA7C54">
        <w:t xml:space="preserve">. </w:t>
      </w:r>
      <w:r w:rsidR="00E96D57">
        <w:t xml:space="preserve">Vi mangler stadig at kigge på to led: </w:t>
      </w:r>
      <w:r w:rsidR="00E96D57" w:rsidRPr="00E96D57">
        <w:rPr>
          <w:position w:val="-12"/>
        </w:rPr>
        <w:object w:dxaOrig="639" w:dyaOrig="360">
          <v:shape id="_x0000_i1260" type="#_x0000_t75" style="width:31.8pt;height:18pt" o:ole="">
            <v:imagedata r:id="rId58" o:title=""/>
          </v:shape>
          <o:OLEObject Type="Embed" ProgID="Equation.DSMT4" ShapeID="_x0000_i1260" DrawAspect="Content" ObjectID="_1381866540" r:id="rId59"/>
        </w:object>
      </w:r>
      <w:r w:rsidR="00E96D57">
        <w:t xml:space="preserve"> er fast og ændrer sig ikke, når </w:t>
      </w:r>
      <w:r w:rsidR="00E96D57" w:rsidRPr="00E96D57">
        <w:rPr>
          <w:position w:val="-6"/>
        </w:rPr>
        <w:object w:dxaOrig="800" w:dyaOrig="279">
          <v:shape id="_x0000_i1263" type="#_x0000_t75" style="width:40.2pt;height:13.8pt" o:ole="">
            <v:imagedata r:id="rId60" o:title=""/>
          </v:shape>
          <o:OLEObject Type="Embed" ProgID="Equation.DSMT4" ShapeID="_x0000_i1263" DrawAspect="Content" ObjectID="_1381866541" r:id="rId61"/>
        </w:object>
      </w:r>
      <w:r w:rsidR="00E96D57">
        <w:t xml:space="preserve">. Det fjerde led: Da </w:t>
      </w:r>
      <w:r w:rsidR="00E96D57">
        <w:rPr>
          <w:i/>
        </w:rPr>
        <w:t>g</w:t>
      </w:r>
      <w:r w:rsidR="00E96D57">
        <w:t xml:space="preserve"> er differentiabel </w:t>
      </w:r>
      <w:r w:rsidR="008B2236">
        <w:t xml:space="preserve">i </w:t>
      </w:r>
      <w:r w:rsidR="008B2236" w:rsidRPr="008B2236">
        <w:rPr>
          <w:position w:val="-12"/>
        </w:rPr>
        <w:object w:dxaOrig="279" w:dyaOrig="360">
          <v:shape id="_x0000_i1270" type="#_x0000_t75" style="width:13.8pt;height:18pt" o:ole="">
            <v:imagedata r:id="rId62" o:title=""/>
          </v:shape>
          <o:OLEObject Type="Embed" ProgID="Equation.DSMT4" ShapeID="_x0000_i1270" DrawAspect="Content" ObjectID="_1381866542" r:id="rId63"/>
        </w:object>
      </w:r>
      <w:r w:rsidR="008B2236">
        <w:t xml:space="preserve">, </w:t>
      </w:r>
      <w:r w:rsidR="00E96D57">
        <w:t>er</w:t>
      </w:r>
      <w:r w:rsidR="008B2236">
        <w:t xml:space="preserve"> </w:t>
      </w:r>
      <w:r w:rsidR="008B2236">
        <w:rPr>
          <w:i/>
        </w:rPr>
        <w:t>g</w:t>
      </w:r>
      <w:r w:rsidR="008B2236">
        <w:t xml:space="preserve"> også kontinuert i </w:t>
      </w:r>
      <w:r w:rsidR="008B2236" w:rsidRPr="008B2236">
        <w:rPr>
          <w:position w:val="-12"/>
        </w:rPr>
        <w:object w:dxaOrig="279" w:dyaOrig="360">
          <v:shape id="_x0000_i1273" type="#_x0000_t75" style="width:13.8pt;height:18pt" o:ole="">
            <v:imagedata r:id="rId64" o:title=""/>
          </v:shape>
          <o:OLEObject Type="Embed" ProgID="Equation.DSMT4" ShapeID="_x0000_i1273" DrawAspect="Content" ObjectID="_1381866543" r:id="rId65"/>
        </w:object>
      </w:r>
      <w:r w:rsidR="002269E0">
        <w:t xml:space="preserve"> </w:t>
      </w:r>
      <w:r w:rsidR="008B2236">
        <w:t xml:space="preserve">ifølge en sætning. Derfor har vi </w:t>
      </w:r>
      <w:r w:rsidR="00E96D57" w:rsidRPr="00E96D57">
        <w:rPr>
          <w:position w:val="-12"/>
        </w:rPr>
        <w:object w:dxaOrig="1980" w:dyaOrig="360">
          <v:shape id="_x0000_i1266" type="#_x0000_t75" style="width:99pt;height:18pt" o:ole="">
            <v:imagedata r:id="rId66" o:title=""/>
          </v:shape>
          <o:OLEObject Type="Embed" ProgID="Equation.DSMT4" ShapeID="_x0000_i1266" DrawAspect="Content" ObjectID="_1381866544" r:id="rId67"/>
        </w:object>
      </w:r>
      <w:r w:rsidR="00E96D57">
        <w:t xml:space="preserve"> for </w:t>
      </w:r>
      <w:r w:rsidR="00E96D57" w:rsidRPr="00E96D57">
        <w:rPr>
          <w:position w:val="-6"/>
        </w:rPr>
        <w:object w:dxaOrig="800" w:dyaOrig="279">
          <v:shape id="_x0000_i1267" type="#_x0000_t75" style="width:40.2pt;height:13.8pt" o:ole="">
            <v:imagedata r:id="rId60" o:title=""/>
          </v:shape>
          <o:OLEObject Type="Embed" ProgID="Equation.DSMT4" ShapeID="_x0000_i1267" DrawAspect="Content" ObjectID="_1381866545" r:id="rId68"/>
        </w:object>
      </w:r>
      <w:r w:rsidR="00E96D57">
        <w:t xml:space="preserve">. </w:t>
      </w:r>
      <w:r w:rsidR="002269E0">
        <w:t>Alt i alt får vi ifølge regler</w:t>
      </w:r>
      <w:r w:rsidR="00F87BE0">
        <w:t>ne</w:t>
      </w:r>
      <w:r w:rsidR="002269E0">
        <w:t xml:space="preserve"> for grænseværdier:</w:t>
      </w:r>
    </w:p>
    <w:p w:rsidR="002269E0" w:rsidRDefault="002269E0" w:rsidP="00945C4C">
      <w:pPr>
        <w:pStyle w:val="Normalp"/>
      </w:pPr>
    </w:p>
    <w:p w:rsidR="002269E0" w:rsidRPr="00353A6E" w:rsidRDefault="002269E0" w:rsidP="002269E0">
      <w:r>
        <w:t>(2)</w:t>
      </w:r>
      <w:r>
        <w:tab/>
      </w:r>
      <w:r>
        <w:tab/>
      </w:r>
      <w:r>
        <w:tab/>
      </w:r>
      <w:r w:rsidRPr="002269E0">
        <w:rPr>
          <w:position w:val="-50"/>
        </w:rPr>
        <w:object w:dxaOrig="5040" w:dyaOrig="1120">
          <v:shape id="_x0000_i1279" type="#_x0000_t75" style="width:249pt;height:55.2pt" o:ole="">
            <v:imagedata r:id="rId69" o:title=""/>
          </v:shape>
          <o:OLEObject Type="Embed" ProgID="Equation.DSMT4" ShapeID="_x0000_i1279" DrawAspect="Content" ObjectID="_1381866546" r:id="rId70"/>
        </w:object>
      </w:r>
    </w:p>
    <w:p w:rsidR="00890E4C" w:rsidRDefault="00890E4C" w:rsidP="00945C4C">
      <w:pPr>
        <w:pStyle w:val="Normalp"/>
      </w:pPr>
    </w:p>
    <w:p w:rsidR="002269E0" w:rsidRDefault="002269E0" w:rsidP="00945C4C">
      <w:pPr>
        <w:pStyle w:val="Normalp"/>
      </w:pPr>
      <w:r>
        <w:t xml:space="preserve">Differenskvotienten for </w:t>
      </w:r>
      <w:r>
        <w:rPr>
          <w:i/>
        </w:rPr>
        <w:t>h</w:t>
      </w:r>
      <w:r>
        <w:t xml:space="preserve"> har altså en grænseværdi. Derfor er produktfunktionen</w:t>
      </w:r>
      <w:r w:rsidR="000C4F36">
        <w:t xml:space="preserve"> </w:t>
      </w:r>
      <w:r w:rsidR="000C4F36">
        <w:rPr>
          <w:i/>
        </w:rPr>
        <w:t>h</w:t>
      </w:r>
      <w:r>
        <w:t xml:space="preserve"> dif</w:t>
      </w:r>
      <w:r>
        <w:softHyphen/>
        <w:t>fe</w:t>
      </w:r>
      <w:r>
        <w:softHyphen/>
        <w:t>ren</w:t>
      </w:r>
      <w:r>
        <w:softHyphen/>
        <w:t xml:space="preserve">tiabel i </w:t>
      </w:r>
      <w:r w:rsidRPr="002269E0">
        <w:rPr>
          <w:position w:val="-12"/>
        </w:rPr>
        <w:object w:dxaOrig="279" w:dyaOrig="360">
          <v:shape id="_x0000_i1284" type="#_x0000_t75" style="width:13.8pt;height:18pt" o:ole="">
            <v:imagedata r:id="rId71" o:title=""/>
          </v:shape>
          <o:OLEObject Type="Embed" ProgID="Equation.DSMT4" ShapeID="_x0000_i1284" DrawAspect="Content" ObjectID="_1381866547" r:id="rId72"/>
        </w:object>
      </w:r>
      <w:r w:rsidR="000C4F36">
        <w:t>,</w:t>
      </w:r>
      <w:r>
        <w:t xml:space="preserve"> og differentialkvotienten er lig med ovenstående grænseværdi, altså: </w:t>
      </w:r>
    </w:p>
    <w:p w:rsidR="002269E0" w:rsidRDefault="002269E0" w:rsidP="002269E0">
      <w:pPr>
        <w:pStyle w:val="Normalp"/>
        <w:spacing w:before="240" w:after="240"/>
        <w:jc w:val="center"/>
      </w:pPr>
      <w:r w:rsidRPr="002269E0">
        <w:rPr>
          <w:position w:val="-12"/>
        </w:rPr>
        <w:object w:dxaOrig="3720" w:dyaOrig="360">
          <v:shape id="_x0000_i1289" type="#_x0000_t75" style="width:186pt;height:18pt" o:ole="">
            <v:imagedata r:id="rId73" o:title=""/>
          </v:shape>
          <o:OLEObject Type="Embed" ProgID="Equation.DSMT4" ShapeID="_x0000_i1289" DrawAspect="Content" ObjectID="_1381866548" r:id="rId74"/>
        </w:object>
      </w:r>
    </w:p>
    <w:p w:rsidR="00570BFF" w:rsidRDefault="002269E0" w:rsidP="00945C4C">
      <w:pPr>
        <w:pStyle w:val="Normalp"/>
      </w:pPr>
      <w:r>
        <w:t xml:space="preserve">eller </w:t>
      </w:r>
      <w:r w:rsidRPr="00F61937">
        <w:rPr>
          <w:position w:val="-12"/>
        </w:rPr>
        <w:object w:dxaOrig="4280" w:dyaOrig="360">
          <v:shape id="_x0000_i1290" type="#_x0000_t75" style="width:214.2pt;height:18pt" o:ole="">
            <v:imagedata r:id="rId28" o:title=""/>
          </v:shape>
          <o:OLEObject Type="Embed" ProgID="Equation.DSMT4" ShapeID="_x0000_i1290" DrawAspect="Content" ObjectID="_1381866549" r:id="rId75"/>
        </w:object>
      </w:r>
      <w:r>
        <w:t xml:space="preserve">. Det ønskede er dermed vist. </w:t>
      </w:r>
    </w:p>
    <w:p w:rsidR="002269E0" w:rsidRPr="002269E0" w:rsidRDefault="002269E0" w:rsidP="002269E0">
      <w:pPr>
        <w:pStyle w:val="Normalp"/>
        <w:jc w:val="right"/>
      </w:pPr>
      <w:r w:rsidRPr="002269E0">
        <w:rPr>
          <w:position w:val="-4"/>
        </w:rPr>
        <w:object w:dxaOrig="200" w:dyaOrig="200">
          <v:shape id="_x0000_i1293" type="#_x0000_t75" style="width:10.2pt;height:10.2pt" o:ole="">
            <v:imagedata r:id="rId76" o:title=""/>
          </v:shape>
          <o:OLEObject Type="Embed" ProgID="Equation.DSMT4" ShapeID="_x0000_i1293" DrawAspect="Content" ObjectID="_1381866550" r:id="rId77"/>
        </w:object>
      </w:r>
    </w:p>
    <w:p w:rsidR="00B74436" w:rsidRDefault="00B74436" w:rsidP="00B74436"/>
    <w:p w:rsidR="007F73B3" w:rsidRPr="00D808A2" w:rsidRDefault="007F73B3" w:rsidP="007F73B3">
      <w:pPr>
        <w:pStyle w:val="Overskrift4"/>
      </w:pPr>
      <w:r w:rsidRPr="00D808A2">
        <w:t>Bemærkning</w:t>
      </w:r>
      <w:r w:rsidR="002269E0">
        <w:t xml:space="preserve"> 2</w:t>
      </w:r>
    </w:p>
    <w:p w:rsidR="007F73B3" w:rsidRDefault="007F73B3" w:rsidP="007F73B3">
      <w:r>
        <w:t>Læg mærke til symmetrien i formlen. Det gør den nemmere at huske. I det første led på højre side differentierer man den første funktion og lader den anden funktion stå. I det andet led lader man den første funktion stå og differentierer den anden</w:t>
      </w:r>
      <w:r w:rsidR="000C4F36">
        <w:t xml:space="preserve"> funktion</w:t>
      </w:r>
      <w:r>
        <w:t>!</w:t>
      </w:r>
    </w:p>
    <w:p w:rsidR="0067477F" w:rsidRPr="001E163B" w:rsidRDefault="0067477F" w:rsidP="008A7ECC"/>
    <w:p w:rsidR="001E163B" w:rsidRDefault="001E163B" w:rsidP="008A7ECC"/>
    <w:p w:rsidR="00D54AE0" w:rsidRDefault="002269E0" w:rsidP="00D54AE0">
      <w:pPr>
        <w:pStyle w:val="Overskrift4"/>
      </w:pPr>
      <w:r>
        <w:t>Eksempel 3</w:t>
      </w:r>
    </w:p>
    <w:p w:rsidR="002269E0" w:rsidRDefault="00617E8C" w:rsidP="00ED305C">
      <w:pPr>
        <w:pStyle w:val="Normalp"/>
      </w:pPr>
      <w:r>
        <w:t xml:space="preserve">Lad </w:t>
      </w:r>
      <w:r w:rsidR="00ED305C" w:rsidRPr="00ED305C">
        <w:rPr>
          <w:position w:val="-10"/>
        </w:rPr>
        <w:object w:dxaOrig="999" w:dyaOrig="380">
          <v:shape id="_x0000_i1319" type="#_x0000_t75" style="width:49.8pt;height:19.2pt" o:ole="">
            <v:imagedata r:id="rId78" o:title=""/>
          </v:shape>
          <o:OLEObject Type="Embed" ProgID="Equation.DSMT4" ShapeID="_x0000_i1319" DrawAspect="Content" ObjectID="_1381866551" r:id="rId79"/>
        </w:object>
      </w:r>
      <w:r w:rsidR="00ED305C">
        <w:t xml:space="preserve"> og </w:t>
      </w:r>
      <w:r w:rsidR="00ED305C" w:rsidRPr="00ED305C">
        <w:rPr>
          <w:position w:val="-10"/>
        </w:rPr>
        <w:object w:dxaOrig="1340" w:dyaOrig="320">
          <v:shape id="_x0000_i1322" type="#_x0000_t75" style="width:67.2pt;height:16.2pt" o:ole="">
            <v:imagedata r:id="rId80" o:title=""/>
          </v:shape>
          <o:OLEObject Type="Embed" ProgID="Equation.DSMT4" ShapeID="_x0000_i1322" DrawAspect="Content" ObjectID="_1381866552" r:id="rId81"/>
        </w:object>
      </w:r>
      <w:r w:rsidR="00ED305C">
        <w:t>. Bestem differentialkvotienten for</w:t>
      </w:r>
      <w:r w:rsidR="000C4F36">
        <w:t xml:space="preserve"> produktfunktionen</w:t>
      </w:r>
      <w:r w:rsidR="00ED305C">
        <w:t xml:space="preserve"> </w:t>
      </w:r>
      <w:r w:rsidR="00ED305C" w:rsidRPr="00ED305C">
        <w:rPr>
          <w:position w:val="-10"/>
        </w:rPr>
        <w:object w:dxaOrig="1680" w:dyaOrig="380">
          <v:shape id="_x0000_i1325" type="#_x0000_t75" style="width:84pt;height:19.2pt" o:ole="">
            <v:imagedata r:id="rId82" o:title=""/>
          </v:shape>
          <o:OLEObject Type="Embed" ProgID="Equation.DSMT4" ShapeID="_x0000_i1325" DrawAspect="Content" ObjectID="_1381866553" r:id="rId83"/>
        </w:object>
      </w:r>
      <w:r w:rsidR="00ED305C">
        <w:t>. Iføl</w:t>
      </w:r>
      <w:r w:rsidR="00ED305C">
        <w:softHyphen/>
        <w:t>ge sætning</w:t>
      </w:r>
      <w:r w:rsidR="000C4F36">
        <w:t xml:space="preserve"> 1 </w:t>
      </w:r>
      <w:r w:rsidR="00ED305C">
        <w:t>har vi:</w:t>
      </w:r>
    </w:p>
    <w:p w:rsidR="00ED305C" w:rsidRPr="002269E0" w:rsidRDefault="00ED305C" w:rsidP="005C32DC">
      <w:pPr>
        <w:spacing w:before="240"/>
      </w:pPr>
      <w:r w:rsidRPr="00ED305C">
        <w:rPr>
          <w:position w:val="-10"/>
        </w:rPr>
        <w:object w:dxaOrig="7520" w:dyaOrig="380">
          <v:shape id="_x0000_i1328" type="#_x0000_t75" style="width:376.2pt;height:19.2pt" o:ole="">
            <v:imagedata r:id="rId84" o:title=""/>
          </v:shape>
          <o:OLEObject Type="Embed" ProgID="Equation.DSMT4" ShapeID="_x0000_i1328" DrawAspect="Content" ObjectID="_1381866554" r:id="rId85"/>
        </w:object>
      </w:r>
      <w:bookmarkStart w:id="0" w:name="_GoBack"/>
      <w:bookmarkEnd w:id="0"/>
    </w:p>
    <w:sectPr w:rsidR="00ED305C" w:rsidRPr="002269E0" w:rsidSect="002E2465">
      <w:headerReference w:type="even" r:id="rId86"/>
      <w:headerReference w:type="default" r:id="rId87"/>
      <w:pgSz w:w="11906" w:h="16838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17" w:rsidRDefault="00AB6B17" w:rsidP="005E7FE5">
      <w:pPr>
        <w:spacing w:line="240" w:lineRule="auto"/>
      </w:pPr>
      <w:r>
        <w:separator/>
      </w:r>
    </w:p>
  </w:endnote>
  <w:endnote w:type="continuationSeparator" w:id="0">
    <w:p w:rsidR="00AB6B17" w:rsidRDefault="00AB6B17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17" w:rsidRDefault="00AB6B17" w:rsidP="005E7FE5">
      <w:pPr>
        <w:spacing w:line="240" w:lineRule="auto"/>
      </w:pPr>
      <w:r>
        <w:separator/>
      </w:r>
    </w:p>
  </w:footnote>
  <w:footnote w:type="continuationSeparator" w:id="0">
    <w:p w:rsidR="00AB6B17" w:rsidRDefault="00AB6B17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5C32DC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14E35" wp14:editId="24B206C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2269E0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BB74C8" wp14:editId="1E7C111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7"/>
    <w:rsid w:val="000167BA"/>
    <w:rsid w:val="00027EDE"/>
    <w:rsid w:val="0006418C"/>
    <w:rsid w:val="00090B4C"/>
    <w:rsid w:val="000935D6"/>
    <w:rsid w:val="000C4F36"/>
    <w:rsid w:val="000C522D"/>
    <w:rsid w:val="000D2B29"/>
    <w:rsid w:val="001208B2"/>
    <w:rsid w:val="001821B1"/>
    <w:rsid w:val="00182F0C"/>
    <w:rsid w:val="001902BA"/>
    <w:rsid w:val="001C42DF"/>
    <w:rsid w:val="001E163B"/>
    <w:rsid w:val="001F35D7"/>
    <w:rsid w:val="00200E89"/>
    <w:rsid w:val="00222A23"/>
    <w:rsid w:val="002269E0"/>
    <w:rsid w:val="00240760"/>
    <w:rsid w:val="00241C5D"/>
    <w:rsid w:val="0025298C"/>
    <w:rsid w:val="00253B9A"/>
    <w:rsid w:val="00292F4B"/>
    <w:rsid w:val="002B626B"/>
    <w:rsid w:val="002E2465"/>
    <w:rsid w:val="002F2CF1"/>
    <w:rsid w:val="002F4FF3"/>
    <w:rsid w:val="00323263"/>
    <w:rsid w:val="003534C6"/>
    <w:rsid w:val="00353A6E"/>
    <w:rsid w:val="00355E8A"/>
    <w:rsid w:val="003C56B0"/>
    <w:rsid w:val="003D073C"/>
    <w:rsid w:val="003D37F8"/>
    <w:rsid w:val="003F6D6E"/>
    <w:rsid w:val="00401B64"/>
    <w:rsid w:val="00446393"/>
    <w:rsid w:val="0047134A"/>
    <w:rsid w:val="004769BE"/>
    <w:rsid w:val="00487811"/>
    <w:rsid w:val="004A0BD5"/>
    <w:rsid w:val="004B2A56"/>
    <w:rsid w:val="004C494E"/>
    <w:rsid w:val="004E1CC5"/>
    <w:rsid w:val="004E571D"/>
    <w:rsid w:val="00542CD1"/>
    <w:rsid w:val="00553620"/>
    <w:rsid w:val="00553A8B"/>
    <w:rsid w:val="005607A8"/>
    <w:rsid w:val="00570BFF"/>
    <w:rsid w:val="005733DA"/>
    <w:rsid w:val="00595C75"/>
    <w:rsid w:val="005C32DC"/>
    <w:rsid w:val="005E7FE5"/>
    <w:rsid w:val="005F1E63"/>
    <w:rsid w:val="005F5C23"/>
    <w:rsid w:val="00617E8C"/>
    <w:rsid w:val="0064154C"/>
    <w:rsid w:val="00667AB2"/>
    <w:rsid w:val="0067477F"/>
    <w:rsid w:val="0068291D"/>
    <w:rsid w:val="00686CF1"/>
    <w:rsid w:val="006A7596"/>
    <w:rsid w:val="006B6F87"/>
    <w:rsid w:val="006E677A"/>
    <w:rsid w:val="006F160A"/>
    <w:rsid w:val="00725A39"/>
    <w:rsid w:val="007F73B3"/>
    <w:rsid w:val="00822CD2"/>
    <w:rsid w:val="00824C44"/>
    <w:rsid w:val="0084123B"/>
    <w:rsid w:val="00857411"/>
    <w:rsid w:val="00884D25"/>
    <w:rsid w:val="00890E4C"/>
    <w:rsid w:val="008A7ECC"/>
    <w:rsid w:val="008B2236"/>
    <w:rsid w:val="008E0862"/>
    <w:rsid w:val="008F5DD8"/>
    <w:rsid w:val="00903EE1"/>
    <w:rsid w:val="00931BD8"/>
    <w:rsid w:val="00945C4C"/>
    <w:rsid w:val="0097024F"/>
    <w:rsid w:val="00971B79"/>
    <w:rsid w:val="00981A22"/>
    <w:rsid w:val="0098548F"/>
    <w:rsid w:val="009D7C0D"/>
    <w:rsid w:val="009E7507"/>
    <w:rsid w:val="009F0412"/>
    <w:rsid w:val="009F15B9"/>
    <w:rsid w:val="00A1143E"/>
    <w:rsid w:val="00A3249E"/>
    <w:rsid w:val="00AA35A8"/>
    <w:rsid w:val="00AA4AE3"/>
    <w:rsid w:val="00AB6B17"/>
    <w:rsid w:val="00B114EC"/>
    <w:rsid w:val="00B37C2E"/>
    <w:rsid w:val="00B43D1E"/>
    <w:rsid w:val="00B6703F"/>
    <w:rsid w:val="00B74436"/>
    <w:rsid w:val="00B75608"/>
    <w:rsid w:val="00BB6884"/>
    <w:rsid w:val="00BE6C9C"/>
    <w:rsid w:val="00C12988"/>
    <w:rsid w:val="00C341C2"/>
    <w:rsid w:val="00C44C57"/>
    <w:rsid w:val="00C72361"/>
    <w:rsid w:val="00C76CF4"/>
    <w:rsid w:val="00C822A3"/>
    <w:rsid w:val="00C90C26"/>
    <w:rsid w:val="00CA3437"/>
    <w:rsid w:val="00CD7BB6"/>
    <w:rsid w:val="00CE1829"/>
    <w:rsid w:val="00CE194E"/>
    <w:rsid w:val="00D043A9"/>
    <w:rsid w:val="00D063EF"/>
    <w:rsid w:val="00D200C9"/>
    <w:rsid w:val="00D34936"/>
    <w:rsid w:val="00D5122D"/>
    <w:rsid w:val="00D54AE0"/>
    <w:rsid w:val="00D566DD"/>
    <w:rsid w:val="00D808A2"/>
    <w:rsid w:val="00D90B53"/>
    <w:rsid w:val="00DD1EB5"/>
    <w:rsid w:val="00DD79F1"/>
    <w:rsid w:val="00E70F30"/>
    <w:rsid w:val="00E83DF6"/>
    <w:rsid w:val="00E96D57"/>
    <w:rsid w:val="00EA4D3E"/>
    <w:rsid w:val="00EA7C54"/>
    <w:rsid w:val="00EC2E08"/>
    <w:rsid w:val="00ED305C"/>
    <w:rsid w:val="00EE36F5"/>
    <w:rsid w:val="00EF6E88"/>
    <w:rsid w:val="00F168A8"/>
    <w:rsid w:val="00F1705E"/>
    <w:rsid w:val="00F22019"/>
    <w:rsid w:val="00F61937"/>
    <w:rsid w:val="00F8326D"/>
    <w:rsid w:val="00F87BE0"/>
    <w:rsid w:val="00FA7A74"/>
    <w:rsid w:val="00FB1463"/>
    <w:rsid w:val="00FB797A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115</TotalTime>
  <Pages>2</Pages>
  <Words>661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97</cp:revision>
  <cp:lastPrinted>2011-11-03T20:14:00Z</cp:lastPrinted>
  <dcterms:created xsi:type="dcterms:W3CDTF">2011-11-03T19:26:00Z</dcterms:created>
  <dcterms:modified xsi:type="dcterms:W3CDTF">2011-11-03T21:20:00Z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